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Новосибирской области «О внесении изменений в статьи 3.1 и 13.4 Закона Новосибирской области «Об административных правонарушениях в Новосибирской области»</w:t>
      </w:r>
    </w:p>
    <w:p>
      <w:pPr>
        <w:jc w:val="both"/>
        <w:rPr>
          <w:b/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закона Новосибирской области «О внесении изменений в статьи 3.1 и 13.4 Закона Новосибирской области «Об административных правонарушениях в Новосибирской области» (далее – закон) не вводит новые, не расширяет (не увеличивает) действующие расходные обязательства областного бюджета Новосибирской области.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направлен на приведение в соответствие с федеральным законодательством, в связи с чем предлагается признать утратившей силу статью 3.1, подпункт 1 пункта 2 статьи 13.4 Закона Новосибирской области от 14 февраля 2003 года № 99-ОЗ «Об административных правонарушениях в Новосибирской области», регулирующие положения, связанные с привлечением к административной ответственности за нарушения установленного порядка квотирования рабочих мест для несовершеннолетних лиц, ищущих работу.</w:t>
      </w:r>
    </w:p>
    <w:p>
      <w:pPr>
        <w:ind w:firstLine="708"/>
        <w:jc w:val="both"/>
      </w:pPr>
      <w:r>
        <w:rPr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bookmarkStart w:id="0" w:name="_GoBack"/>
      <w:bookmarkEnd w:id="0"/>
    </w:p>
    <w:sectPr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540" w:footer="0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alibri">
    <w:panose1 w:val="020F0502020204030204"/>
  </w:font>
  <w:font w:name="Symbol">
    <w:panose1 w:val="05010000000000000000"/>
  </w:font>
  <w:font w:name="Arial">
    <w:panose1 w:val="020B0604020202020204"/>
  </w:font>
  <w:font w:name="Droid Sans">
    <w:panose1 w:val="020B060603080402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</w:p>
  <w:p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909A0D44">
      <w:start w:val="1"/>
      <w:numFmt w:val="decimal"/>
      <w:pStyle w:val="1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2A8CD2C">
      <w:start w:val="1"/>
      <w:numFmt w:val="decimal"/>
      <w:pStyle w:val="2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B20A62A">
      <w:start w:val="1"/>
      <w:numFmt w:val="decimal"/>
      <w:pStyle w:val="3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1F09320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130A534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FEADC5A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42EA28C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53EEB8E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2CE2D76">
      <w:start w:val="1"/>
      <w:numFmt w:val="decimal"/>
      <w:isLgl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ahoma" w:cs="Droid Sans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eastAsia="Times New Roman" w:cs="Times New Roman"/>
      <w:lang w:bidi="ar-SA"/>
    </w:rPr>
  </w:style>
  <w:style w:type="paragraph" w:styleId="1">
    <w:name w:val="heading 1"/>
    <w:basedOn w:val="a"/>
    <w:qFormat/>
    <w:pPr>
      <w:keepNext/>
      <w:numPr>
        <w:numId w:val="1"/>
      </w:numPr>
      <w:jc w:val="center"/>
      <w:outlineLvl w:val="0"/>
    </w:pPr>
    <w:rPr>
      <w:color w:val="000000"/>
      <w:sz w:val="24"/>
    </w:rPr>
  </w:style>
  <w:style w:type="paragraph" w:styleId="2">
    <w:name w:val="heading 2"/>
    <w:basedOn w:val="a"/>
    <w:qFormat/>
    <w:pPr>
      <w:keepNext/>
      <w:numPr>
        <w:numId w:val="1"/>
        <w:ilvl w:val="1"/>
      </w:numPr>
      <w:jc w:val="center"/>
      <w:outlineLvl w:val="1"/>
    </w:pPr>
    <w:rPr>
      <w:sz w:val="28"/>
    </w:rPr>
  </w:style>
  <w:style w:type="paragraph" w:styleId="3">
    <w:name w:val="heading 3"/>
    <w:basedOn w:val="a"/>
    <w:qFormat/>
    <w:pPr>
      <w:keepNext/>
      <w:numPr>
        <w:numId w:val="1"/>
        <w:ilvl w:val="2"/>
      </w:numPr>
      <w:jc w:val="center"/>
      <w:outlineLvl w:val="2"/>
    </w:pPr>
    <w:rPr>
      <w:sz w:val="36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 w:themeColor="hyperlink"/>
      <w:u w:val="single"/>
    </w:rPr>
  </w:style>
  <w:style w:type="character" w:styleId="InternetLink" w:customStyle="1">
    <w:name w:val="Internet Link"/>
    <w:uiPriority w:val="99"/>
    <w:unhideWhenUsed/>
    <w:qFormat/>
    <w:rPr>
      <w:color w:val="0000ff" w:themeColor="hyperlink"/>
      <w:u w:val="single"/>
    </w:rPr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uiPriority w:val="10"/>
    <w:qFormat/>
    <w:rPr>
      <w:sz w:val="48"/>
      <w:szCs w:val="48"/>
    </w:rPr>
  </w:style>
  <w:style w:type="character" w:styleId="SubtitleChar" w:customStyle="1">
    <w:name w:val="Subtitle Char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uiPriority w:val="99"/>
    <w:qFormat/>
  </w:style>
  <w:style w:type="character" w:styleId="FooterChar" w:customStyle="1">
    <w:name w:val="Footer Char"/>
    <w:uiPriority w:val="99"/>
    <w:qFormat/>
  </w:style>
  <w:style w:type="character" w:styleId="CaptionChar" w:customStyle="1">
    <w:name w:val="Caption Char"/>
    <w:uiPriority w:val="99"/>
    <w:qFormat/>
  </w:style>
  <w:style w:type="character" w:styleId="InternetLink1" w:customStyle="1">
    <w:name w:val="Internet Link1"/>
    <w:uiPriority w:val="99"/>
    <w:unhideWhenUsed/>
    <w:qFormat/>
    <w:rPr>
      <w:color w:val="0000ff" w:themeColor="hyperlink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a4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FootnoteCharacters11" w:customStyle="1">
    <w:name w:val="Footnote Characters11"/>
    <w:qFormat/>
    <w:rPr>
      <w:vertAlign w:val="superscript"/>
    </w:rPr>
  </w:style>
  <w:style w:type="character" w:styleId="FootnoteCharacters111" w:customStyle="1">
    <w:name w:val="Footnote Characters111"/>
    <w:qFormat/>
    <w:rPr>
      <w:vertAlign w:val="superscript"/>
    </w:rPr>
  </w:style>
  <w:style w:type="character" w:styleId="FootnoteCharacters1111" w:customStyle="1">
    <w:name w:val="Footnote Characters1111"/>
    <w:qFormat/>
    <w:rPr>
      <w:vertAlign w:val="superscript"/>
    </w:rPr>
  </w:style>
  <w:style w:type="character" w:styleId="FootnoteCharacters11111" w:customStyle="1">
    <w:name w:val="Footnote Characters11111"/>
    <w:qFormat/>
    <w:rPr>
      <w:vertAlign w:val="superscript"/>
    </w:rPr>
  </w:style>
  <w:style w:type="character" w:styleId="FootnoteCharacters111111" w:customStyle="1">
    <w:name w:val="Footnote Characters111111"/>
    <w:qFormat/>
    <w:rPr>
      <w:vertAlign w:val="superscript"/>
    </w:rPr>
  </w:style>
  <w:style w:type="character" w:styleId="FootnoteCharacters1111111" w:customStyle="1">
    <w:name w:val="Footnote Characters1111111"/>
    <w:qFormat/>
    <w:rPr>
      <w:vertAlign w:val="superscript"/>
    </w:rPr>
  </w:style>
  <w:style w:type="character" w:styleId="FootnoteCharacters11111111" w:customStyle="1">
    <w:name w:val="Footnote Characters11111111"/>
    <w:qFormat/>
    <w:rPr>
      <w:vertAlign w:val="superscript"/>
    </w:rPr>
  </w:style>
  <w:style w:type="character" w:styleId="FootnoteCharacters111111111" w:customStyle="1">
    <w:name w:val="Footnote Characters111111111"/>
    <w:qFormat/>
    <w:rPr>
      <w:vertAlign w:val="superscript"/>
    </w:rPr>
  </w:style>
  <w:style w:type="character" w:styleId="FootnoteCharacters1111111111" w:customStyle="1">
    <w:name w:val="Footnote Characters1111111111"/>
    <w:uiPriority w:val="99"/>
    <w:unhideWhenUsed/>
    <w:qFormat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a5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EndnoteCharacters11" w:customStyle="1">
    <w:name w:val="Endnote Characters11"/>
    <w:qFormat/>
    <w:rPr>
      <w:vertAlign w:val="superscript"/>
    </w:rPr>
  </w:style>
  <w:style w:type="character" w:styleId="EndnoteCharacters111" w:customStyle="1">
    <w:name w:val="Endnote Characters111"/>
    <w:qFormat/>
    <w:rPr>
      <w:vertAlign w:val="superscript"/>
    </w:rPr>
  </w:style>
  <w:style w:type="character" w:styleId="EndnoteCharacters1111" w:customStyle="1">
    <w:name w:val="Endnote Characters1111"/>
    <w:qFormat/>
    <w:rPr>
      <w:vertAlign w:val="superscript"/>
    </w:rPr>
  </w:style>
  <w:style w:type="character" w:styleId="EndnoteCharacters11111" w:customStyle="1">
    <w:name w:val="Endnote Characters11111"/>
    <w:qFormat/>
    <w:rPr>
      <w:vertAlign w:val="superscript"/>
    </w:rPr>
  </w:style>
  <w:style w:type="character" w:styleId="EndnoteCharacters111111" w:customStyle="1">
    <w:name w:val="Endnote Characters111111"/>
    <w:qFormat/>
    <w:rPr>
      <w:vertAlign w:val="superscript"/>
    </w:rPr>
  </w:style>
  <w:style w:type="character" w:styleId="EndnoteCharacters1111111" w:customStyle="1">
    <w:name w:val="Endnote Characters1111111"/>
    <w:qFormat/>
    <w:rPr>
      <w:vertAlign w:val="superscript"/>
    </w:rPr>
  </w:style>
  <w:style w:type="character" w:styleId="EndnoteCharacters11111111" w:customStyle="1">
    <w:name w:val="Endnote Characters11111111"/>
    <w:qFormat/>
    <w:rPr>
      <w:vertAlign w:val="superscript"/>
    </w:rPr>
  </w:style>
  <w:style w:type="character" w:styleId="EndnoteCharacters111111111" w:customStyle="1">
    <w:name w:val="Endnote Characters111111111"/>
    <w:qFormat/>
    <w:rPr>
      <w:vertAlign w:val="superscript"/>
    </w:rPr>
  </w:style>
  <w:style w:type="character" w:styleId="EndnoteCharacters1111111111" w:customStyle="1">
    <w:name w:val="Endnote Characters1111111111"/>
    <w:uiPriority w:val="99"/>
    <w:semiHidden/>
    <w:unhideWhenUsed/>
    <w:qFormat/>
    <w:rPr>
      <w:vertAlign w:val="superscript"/>
    </w:rPr>
  </w:style>
  <w:style w:type="character" w:styleId="WW8Num1z0" w:customStyle="1">
    <w:name w:val="WW8Num1z0"/>
    <w:qFormat/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7z0" w:customStyle="1">
    <w:name w:val="WW8Num7z0"/>
    <w:qFormat/>
  </w:style>
  <w:style w:type="character" w:styleId="WW8Num8z0" w:customStyle="1">
    <w:name w:val="WW8Num8z0"/>
    <w:qFormat/>
  </w:style>
  <w:style w:type="character" w:styleId="WW8Num9z0" w:customStyle="1">
    <w:name w:val="WW8Num9z0"/>
    <w:qFormat/>
  </w:style>
  <w:style w:type="character" w:styleId="a6" w:customStyle="1">
    <w:name w:val="Без интервала Знак"/>
    <w:qFormat/>
    <w:rPr>
      <w:rFonts w:ascii="Calibri" w:hAnsi="Calibri" w:cs="Calibri"/>
      <w:sz w:val="22"/>
      <w:szCs w:val="22"/>
      <w:lang w:val="ru-RU" w:bidi="ar-SA"/>
    </w:rPr>
  </w:style>
  <w:style w:type="character" w:styleId="a7" w:customStyle="1">
    <w:name w:val="Верхний колонтитул Знак"/>
    <w:basedOn w:val="a0"/>
    <w:qFormat/>
  </w:style>
  <w:style w:type="character" w:styleId="a8" w:customStyle="1">
    <w:name w:val="Нижний колонтитул Знак"/>
    <w:basedOn w:val="a0"/>
    <w:qFormat/>
  </w:style>
  <w:style w:type="paragraph" w:styleId="10" w:customStyle="1">
    <w:name w:val="Заголовок1"/>
    <w:basedOn w:val="a"/>
    <w:next w:val="a9"/>
    <w:qFormat/>
    <w:pPr>
      <w:jc w:val="center"/>
    </w:pPr>
    <w:rPr>
      <w:b/>
      <w:sz w:val="28"/>
    </w:rPr>
  </w:style>
  <w:style w:type="paragraph" w:styleId="a9">
    <w:name w:val="Body Text"/>
    <w:basedOn w:val="a"/>
    <w:pPr>
      <w:jc w:val="both"/>
    </w:pPr>
    <w:rPr>
      <w:sz w:val="28"/>
    </w:rPr>
  </w:style>
  <w:style w:type="paragraph" w:styleId="aa">
    <w:name w:val="List"/>
    <w:basedOn w:val="a9"/>
    <w:rPr>
      <w:rFonts w:cs="Droid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c">
    <w:name w:val="index heading"/>
    <w:basedOn w:val="10"/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styleId="ae">
    <w:name w:val="No Spacing"/>
    <w:qFormat/>
    <w:rPr>
      <w:rFonts w:ascii="Calibri" w:hAnsi="Calibri" w:eastAsia="Times New Roman" w:cs="Calibri"/>
      <w:sz w:val="22"/>
      <w:szCs w:val="22"/>
      <w:lang w:bidi="ar-SA"/>
    </w:rPr>
  </w:style>
  <w:style w:type="paragraph" w:styleId="af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1">
    <w:name w:val="Intense Quote"/>
    <w:basedOn w:val="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styleId="af2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3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  <w:qFormat/>
  </w:style>
  <w:style w:type="paragraph" w:styleId="af5">
    <w:name w:val="table of figures"/>
    <w:basedOn w:val="a"/>
    <w:uiPriority w:val="99"/>
    <w:unhideWhenUsed/>
  </w:style>
  <w:style w:type="paragraph" w:styleId="Caption1" w:customStyle="1">
    <w:name w:val="Caption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Caption11" w:customStyle="1">
    <w:name w:val="Caption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Caption111" w:customStyle="1">
    <w:name w:val="Caption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Caption1111" w:customStyle="1">
    <w:name w:val="Caption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22">
    <w:name w:val="Body Text 2"/>
    <w:basedOn w:val="a"/>
    <w:qFormat/>
    <w:pPr>
      <w:jc w:val="both"/>
    </w:pPr>
    <w:rPr>
      <w:sz w:val="32"/>
    </w:rPr>
  </w:style>
  <w:style w:type="paragraph" w:styleId="BodyTextIndented" w:customStyle="1">
    <w:name w:val="Body Text;Indented"/>
    <w:basedOn w:val="a"/>
    <w:qFormat/>
    <w:pPr>
      <w:ind w:left="720"/>
    </w:pPr>
    <w:rPr>
      <w:i/>
      <w:sz w:val="28"/>
    </w:rPr>
  </w:style>
  <w:style w:type="paragraph" w:styleId="23">
    <w:name w:val="Body Text Indent 2"/>
    <w:basedOn w:val="a"/>
    <w:qFormat/>
    <w:pPr>
      <w:ind w:left="720"/>
    </w:pPr>
    <w:rPr>
      <w:sz w:val="28"/>
    </w:rPr>
  </w:style>
  <w:style w:type="paragraph" w:styleId="31">
    <w:name w:val="Body Text 3"/>
    <w:basedOn w:val="a"/>
    <w:qFormat/>
    <w:rPr>
      <w:sz w:val="24"/>
    </w:rPr>
  </w:style>
  <w:style w:type="paragraph" w:styleId="ConsNormal" w:customStyle="1">
    <w:name w:val="ConsNormal"/>
    <w:qFormat/>
    <w:pPr>
      <w:widowControl w:val="off"/>
      <w:ind w:right="19772" w:firstLine="720"/>
    </w:pPr>
    <w:rPr>
      <w:rFonts w:ascii="Arial" w:hAnsi="Arial" w:eastAsia="Times New Roman" w:cs="Arial"/>
      <w:sz w:val="22"/>
      <w:lang w:bidi="ar-SA"/>
    </w:rPr>
  </w:style>
  <w:style w:type="paragraph" w:styleId="ConsTitle" w:customStyle="1">
    <w:name w:val="ConsTitle"/>
    <w:qFormat/>
    <w:pPr>
      <w:widowControl w:val="off"/>
      <w:ind w:right="19772"/>
    </w:pPr>
    <w:rPr>
      <w:rFonts w:ascii="Arial" w:hAnsi="Arial" w:eastAsia="Times New Roman" w:cs="Arial"/>
      <w:b/>
      <w:sz w:val="22"/>
      <w:lang w:bidi="ar-SA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7" w:customStyle="1">
    <w:name w:val="Знак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lang w:val="en-US"/>
    </w:rPr>
  </w:style>
  <w:style w:type="paragraph" w:styleId="ConsPlusTitle" w:customStyle="1">
    <w:name w:val="ConsPlusTitle"/>
    <w:qFormat/>
    <w:pPr>
      <w:widowControl w:val="off"/>
    </w:pPr>
    <w:rPr>
      <w:rFonts w:ascii="Arial" w:hAnsi="Arial" w:eastAsia="Times New Roman" w:cs="Arial"/>
      <w:b/>
      <w:bCs/>
      <w:lang w:bidi="ar-SA"/>
    </w:rPr>
  </w:style>
  <w:style w:type="paragraph" w:styleId="ConsPlusNormal" w:customStyle="1">
    <w:name w:val="ConsPlusNormal"/>
    <w:qFormat/>
    <w:rPr>
      <w:rFonts w:eastAsia="Times New Roman" w:cs="Times New Roman"/>
      <w:sz w:val="28"/>
      <w:szCs w:val="28"/>
      <w:lang w:bidi="ar-SA"/>
    </w:rPr>
  </w:style>
  <w:style w:type="paragraph" w:styleId="HeaderandFooter" w:customStyle="1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styleId="afa" w:customStyle="1">
    <w:name w:val="Содержимое таблицы"/>
    <w:basedOn w:val="a"/>
    <w:qFormat/>
    <w:pPr>
      <w:widowControl w:val="off"/>
      <w:suppressLineNumbers/>
    </w:pPr>
  </w:style>
  <w:style w:type="paragraph" w:styleId="afb" w:customStyle="1">
    <w:name w:val="Заголовок таблицы"/>
    <w:basedOn w:val="afa"/>
    <w:qFormat/>
    <w:pPr>
      <w:jc w:val="center"/>
    </w:pPr>
    <w:rPr>
      <w:b/>
      <w:bCs/>
    </w:rPr>
  </w:style>
  <w:style w:type="paragraph" w:styleId="FootnoteCharacters12" w:customStyle="1">
    <w:name w:val="Footnote Characters12"/>
    <w:basedOn w:val="a"/>
    <w:qFormat/>
    <w:pPr>
      <w:ind w:firstLine="709"/>
      <w:jc w:val="both"/>
    </w:pPr>
    <w:rPr>
      <w:sz w:val="28"/>
      <w:szCs w:val="28"/>
    </w:rPr>
  </w:style>
  <w:style w:type="numbering" w:styleId="afc" w:customStyle="1">
    <w:name w:val="Без списка"/>
    <w:uiPriority w:val="99"/>
    <w:semiHidden/>
    <w:unhideWhenUsed/>
    <w:qFormat/>
  </w:style>
  <w:style w:type="table" w:styleId="afd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shd w:val="clear" w:color="ffffff" w:fill="f2f2f2" w:themeFill="text1" w:themeFillTint="0D"/>
      </w:tcPr>
    </w:tblStylePr>
    <w:tblStylePr w:type="band1Horz">
      <w:tcPr>
        <w:shd w:val="clear" w:color="ffffff" w:fill="f2f2f2" w:themeFill="text1" w:themeFillTint="0D"/>
      </w:tcPr>
    </w:tblStylePr>
  </w:style>
  <w:style w:type="table" w:styleId="24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band1Horz">
      <w:rPr>
        <w:sz w:val="22"/>
      </w:rPr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band1Horz">
      <w:rPr>
        <w:sz w:val="22"/>
      </w:rPr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band1Horz">
      <w:rPr>
        <w:sz w:val="22"/>
      </w:rPr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band1Horz">
      <w:rPr>
        <w:sz w:val="22"/>
      </w:rPr>
      <w:tcPr>
        <w:shd w:val="clear" w:color="ffffff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band1Horz">
      <w:rPr>
        <w:sz w:val="22"/>
      </w:rPr>
      <w:tcPr>
        <w:shd w:val="clear" w:color="ffffff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band1Horz">
      <w:rPr>
        <w:sz w:val="22"/>
      </w:rPr>
      <w:tcPr>
        <w:shd w:val="clear" w:color="ffffff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band1Horz">
      <w:rPr>
        <w:sz w:val="22"/>
      </w:rPr>
      <w:tcPr>
        <w:shd w:val="clear" w:color="ffffff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band1Horz">
      <w:rPr>
        <w:sz w:val="22"/>
      </w:rPr>
      <w:tcPr>
        <w:shd w:val="clear" w:color="ffffff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band1Horz">
      <w:rPr>
        <w:sz w:val="22"/>
      </w:rPr>
      <w:tcPr>
        <w:shd w:val="clear" w:color="ffffff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band1Horz">
      <w:rPr>
        <w:sz w:val="22"/>
      </w:rPr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band1Horz">
      <w:rPr>
        <w:sz w:val="22"/>
      </w:rPr>
      <w:tcPr>
        <w:shd w:val="clear" w:color="ffffff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band1Horz">
      <w:rPr>
        <w:sz w:val="22"/>
      </w:rPr>
      <w:tcPr>
        <w:shd w:val="clear" w:color="ffffff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band1Horz">
      <w:rPr>
        <w:sz w:val="22"/>
      </w:rPr>
      <w:tcPr>
        <w:shd w:val="clear" w:color="ffffff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band1Horz">
      <w:rPr>
        <w:sz w:val="22"/>
      </w:rPr>
      <w:tcPr>
        <w:shd w:val="clear" w:color="ffffff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band1Horz">
      <w:rPr>
        <w:sz w:val="22"/>
      </w:rPr>
      <w:tcPr>
        <w:shd w:val="clear" w:color="ffffff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band1Horz">
      <w:rPr>
        <w:sz w:val="22"/>
      </w:rPr>
      <w:tcPr>
        <w:shd w:val="clear" w:color="ffffff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band1Horz">
      <w:rPr>
        <w:sz w:val="22"/>
      </w:rPr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band1Horz">
      <w:rPr>
        <w:sz w:val="22"/>
      </w:rPr>
      <w:tcPr>
        <w:shd w:val="clear" w:color="ffffff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ffffff" w:fill="5d8ac2" w:themeFill="accent1" w:themeFillTint="EA"/>
      </w:tc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band1Horz">
      <w:rPr>
        <w:sz w:val="22"/>
      </w:rPr>
      <w:tcPr>
        <w:shd w:val="clear" w:color="ffffff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ffffff" w:fill="d99695" w:themeFill="accent2" w:themeFillTint="97"/>
      </w:tc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band1Horz">
      <w:rPr>
        <w:sz w:val="22"/>
      </w:rPr>
      <w:tcPr>
        <w:shd w:val="clear" w:color="ffffff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ffffff" w:fill="9abb59" w:themeFill="accent3" w:themeFillTint="FE"/>
      </w:tc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band1Horz">
      <w:rPr>
        <w:sz w:val="22"/>
      </w:rPr>
      <w:tcPr>
        <w:shd w:val="clear" w:color="ffffff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ffffff" w:fill="b2a1c6" w:themeFill="accent4" w:themeFillTint="9A"/>
      </w:tc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band1Horz">
      <w:rPr>
        <w:sz w:val="22"/>
      </w:rPr>
      <w:tcPr>
        <w:shd w:val="clear" w:color="ffffff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ffffff" w:fill="4bacc6" w:themeFill="accent5"/>
      </w:tc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band1Horz">
      <w:rPr>
        <w:sz w:val="22"/>
      </w:rPr>
      <w:tcPr>
        <w:shd w:val="clear" w:color="ffffff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fffff" w:fill="f79646" w:themeFill="accent6"/>
      </w:tc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band1Horz">
      <w:rPr>
        <w:sz w:val="22"/>
      </w:rPr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band1Vert">
      <w:tcPr>
        <w:shd w:val="clear" w:color="ffffff" w:fill="8a8a8a" w:themeFill="text1" w:themeFillTint="75"/>
      </w:tcPr>
    </w:tblStylePr>
    <w:tblStylePr w:type="band1Horz">
      <w:tcPr>
        <w:shd w:val="clear" w:color="ffffff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4f81bd" w:themeFill="accent1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band1Vert">
      <w:tcPr>
        <w:shd w:val="clear" w:color="ffffff" w:fill="aec4e0" w:themeFill="accent1" w:themeFillTint="75"/>
      </w:tcPr>
    </w:tblStylePr>
    <w:tblStylePr w:type="band1Horz">
      <w:tcPr>
        <w:shd w:val="clear" w:color="ffffff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c0504d" w:themeFill="accent2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band1Vert">
      <w:tcPr>
        <w:shd w:val="clear" w:color="ffffff" w:fill="e2aead" w:themeFill="accent2" w:themeFillTint="75"/>
      </w:tcPr>
    </w:tblStylePr>
    <w:tblStylePr w:type="band1Horz">
      <w:tcPr>
        <w:shd w:val="clear" w:color="ffffff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9bbb59" w:themeFill="accent3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band1Vert">
      <w:tcPr>
        <w:shd w:val="clear" w:color="ffffff" w:fill="d0dfb2" w:themeFill="accent3" w:themeFillTint="75"/>
      </w:tcPr>
    </w:tblStylePr>
    <w:tblStylePr w:type="band1Horz">
      <w:tcPr>
        <w:shd w:val="clear" w:color="ffffff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8064a2" w:themeFill="accent4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band1Vert">
      <w:tcPr>
        <w:shd w:val="clear" w:color="ffffff" w:fill="c4b7d4" w:themeFill="accent4" w:themeFillTint="75"/>
      </w:tcPr>
    </w:tblStylePr>
    <w:tblStylePr w:type="band1Horz">
      <w:tcPr>
        <w:shd w:val="clear" w:color="ffffff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4bacc6" w:themeFill="accent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band1Vert">
      <w:tcPr>
        <w:shd w:val="clear" w:color="ffffff" w:fill="acd8e4" w:themeFill="accent5" w:themeFillTint="75"/>
      </w:tcPr>
    </w:tblStylePr>
    <w:tblStylePr w:type="band1Horz">
      <w:tcPr>
        <w:shd w:val="clear" w:color="ffffff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f79646" w:themeFill="accent6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band1Vert">
      <w:tcPr>
        <w:shd w:val="clear" w:color="ffffff" w:fill="fbceaa" w:themeFill="accent6" w:themeFillTint="75"/>
      </w:tcPr>
    </w:tblStylePr>
    <w:tblStylePr w:type="band1Horz"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bfbfbf" w:themeFill="text1" w:themeFillTint="40"/>
      </w:tcPr>
    </w:tblStylePr>
    <w:tblStylePr w:type="band1Horz">
      <w:tcPr>
        <w:shd w:val="clear" w:color="ffffff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2dfee" w:themeFill="accent1" w:themeFillTint="40"/>
      </w:tcPr>
    </w:tblStylePr>
    <w:tblStylePr w:type="band1Horz">
      <w:tcPr>
        <w:shd w:val="clear" w:color="ffffff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efd2d2" w:themeFill="accent2" w:themeFillTint="40"/>
      </w:tcPr>
    </w:tblStylePr>
    <w:tblStylePr w:type="band1Horz">
      <w:tcPr>
        <w:shd w:val="clear" w:color="ffffff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e5eed5" w:themeFill="accent3" w:themeFillTint="40"/>
      </w:tcPr>
    </w:tblStylePr>
    <w:tblStylePr w:type="band1Horz">
      <w:tcPr>
        <w:shd w:val="clear" w:color="ffffff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fd8e7" w:themeFill="accent4" w:themeFillTint="40"/>
      </w:tcPr>
    </w:tblStylePr>
    <w:tblStylePr w:type="band1Horz">
      <w:tcPr>
        <w:shd w:val="clear" w:color="ffffff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1eaf0" w:themeFill="accent5" w:themeFillTint="40"/>
      </w:tcPr>
    </w:tblStylePr>
    <w:tblStylePr w:type="band1Horz">
      <w:tcPr>
        <w:shd w:val="clear" w:color="ffffff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fde4d0" w:themeFill="accent6" w:themeFillTint="40"/>
      </w:tcPr>
    </w:tblStylePr>
    <w:tblStylePr w:type="band1Horz"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band1Horz">
      <w:rPr>
        <w:sz w:val="22"/>
      </w:rPr>
      <w:tcPr>
        <w:shd w:val="clear" w:color="ffffff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band1Horz">
      <w:rPr>
        <w:sz w:val="22"/>
      </w:rPr>
      <w:tcPr>
        <w:shd w:val="clear" w:color="ffffff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band1Horz">
      <w:rPr>
        <w:sz w:val="22"/>
      </w:rPr>
      <w:tcPr>
        <w:shd w:val="clear" w:color="ffffff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band1Horz">
      <w:rPr>
        <w:sz w:val="22"/>
      </w:rPr>
      <w:tcPr>
        <w:shd w:val="clear" w:color="ffffff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band1Horz">
      <w:rPr>
        <w:sz w:val="22"/>
      </w:rPr>
      <w:tcPr>
        <w:shd w:val="clear" w:color="ffffff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band1Horz">
      <w:rPr>
        <w:sz w:val="22"/>
      </w:rPr>
      <w:tcPr>
        <w:shd w:val="clear" w:color="ffffff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band1Horz">
      <w:rPr>
        <w:sz w:val="22"/>
      </w:rPr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band1Horz">
      <w:rPr>
        <w:sz w:val="22"/>
      </w:rPr>
      <w:tcPr>
        <w:shd w:val="clear" w:color="ffffff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band1Horz">
      <w:rPr>
        <w:sz w:val="22"/>
      </w:rPr>
      <w:tcPr>
        <w:shd w:val="clear" w:color="ffffff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band1Horz">
      <w:rPr>
        <w:sz w:val="22"/>
      </w:rPr>
      <w:tcPr>
        <w:shd w:val="clear" w:color="ffffff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band1Horz">
      <w:rPr>
        <w:sz w:val="22"/>
      </w:rPr>
      <w:tcPr>
        <w:shd w:val="clear" w:color="ffffff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band1Horz">
      <w:rPr>
        <w:sz w:val="22"/>
      </w:rPr>
      <w:tcPr>
        <w:shd w:val="clear" w:color="ffffff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band1Horz">
      <w:rPr>
        <w:sz w:val="22"/>
      </w:rPr>
      <w:tcPr>
        <w:shd w:val="clear" w:color="ffffff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band1Horz">
      <w:rPr>
        <w:sz w:val="22"/>
      </w:rPr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D"/>
      </w:tcPr>
    </w:tblStylePr>
  </w:style>
  <w:style w:type="table" w:styleId="Lined-Accent1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</w:style>
  <w:style w:type="table" w:styleId="Lined-Accent2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</w:style>
  <w:style w:type="table" w:styleId="Lined-Accent3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</w:style>
  <w:style w:type="table" w:styleId="Lined-Accent4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</w:style>
  <w:style w:type="table" w:styleId="Lined-Accent5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</w:style>
  <w:style w:type="table" w:styleId="Lined-Accent6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936</Characters>
  <CharactersWithSpaces>1098</CharactersWithSpaces>
  <Company>КонсультантПлюс Версия 4025.00.02</Company>
  <DocSecurity>0</DocSecurity>
  <HyperlinksChanged>false</HyperlinksChanged>
  <Lines>7</Lines>
  <LinksUpToDate>false</LinksUpToDate>
  <Pages>1</Pages>
  <Paragraphs>2</Paragraphs>
  <ScaleCrop>false</ScaleCrop>
  <SharedDoc>false</SharedDoc>
  <Template>Normal</Template>
  <TotalTime>2</TotalTime>
  <Words>164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Новосибирской области от 17.11.2021 N 462-п(ред. от 01.07.2025)"Об утверждении государственной программы Новосибирской области "Социальная поддержка в Новосибирской области"</dc:title>
  <dc:subject/>
  <dc:creator>Kubina</dc:creator>
  <dc:description/>
  <dc:language>ru-RU</dc:language>
  <cp:lastModifiedBy>Лебедев Сергей Александрович</cp:lastModifiedBy>
  <cp:revision>3</cp:revision>
  <cp:lastPrinted>2026-04-28T01:26:00Z</cp:lastPrinted>
  <dcterms:created xsi:type="dcterms:W3CDTF">2026-04-28T01:26:00Z</dcterms:created>
  <dcterms:modified xsi:type="dcterms:W3CDTF">2026-04-28T02:34:00Z</dcterms:modified>
</cp:coreProperties>
</file>